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Pr="00F24D40" w:rsidRDefault="00233FEE" w:rsidP="00233FEE">
      <w:pPr>
        <w:jc w:val="center"/>
        <w:rPr>
          <w:rFonts w:cs="Arial"/>
          <w:b/>
          <w:bCs/>
          <w:caps/>
        </w:rPr>
      </w:pPr>
      <w:r w:rsidRPr="00F24D40">
        <w:rPr>
          <w:rFonts w:cs="Arial"/>
          <w:b/>
          <w:bCs/>
        </w:rPr>
        <w:t xml:space="preserve">- </w:t>
      </w:r>
      <w:r w:rsidR="00344720">
        <w:rPr>
          <w:rFonts w:cs="Arial"/>
          <w:b/>
          <w:bCs/>
          <w:caps/>
        </w:rPr>
        <w:t>ObligaŢiile specifice ale partenerilor -</w:t>
      </w:r>
    </w:p>
    <w:p w:rsidR="00233FEE" w:rsidRPr="00F24D40" w:rsidRDefault="00233FEE" w:rsidP="00233FEE">
      <w:pPr>
        <w:jc w:val="center"/>
        <w:rPr>
          <w:rFonts w:cs="Arial"/>
          <w:b/>
          <w:bCs/>
          <w:caps/>
        </w:rPr>
      </w:pPr>
      <w:r w:rsidRPr="00F24D40">
        <w:rPr>
          <w:rFonts w:cs="Arial"/>
          <w:b/>
          <w:bCs/>
          <w:caps/>
        </w:rPr>
        <w:t xml:space="preserve">Apel </w:t>
      </w:r>
      <w:r w:rsidR="002206D9">
        <w:rPr>
          <w:rFonts w:cs="Arial"/>
          <w:b/>
          <w:bCs/>
          <w:caps/>
        </w:rPr>
        <w:t xml:space="preserve">de PROIECTE </w:t>
      </w:r>
      <w:r w:rsidR="006007F8" w:rsidRPr="006007F8">
        <w:rPr>
          <w:rFonts w:cs="Arial"/>
          <w:b/>
          <w:bCs/>
          <w:caps/>
        </w:rPr>
        <w:t>cu numărul POR/2018/4/4.1/3/în parteneriat</w:t>
      </w:r>
    </w:p>
    <w:p w:rsidR="00233FEE" w:rsidRPr="00F24D40" w:rsidRDefault="00233FEE" w:rsidP="00233FEE">
      <w:pPr>
        <w:pStyle w:val="ListParagraph"/>
        <w:ind w:left="0"/>
        <w:rPr>
          <w:rFonts w:cs="Arial"/>
          <w:b/>
          <w:bCs/>
        </w:rPr>
      </w:pPr>
    </w:p>
    <w:p w:rsidR="00233FEE" w:rsidRPr="00F24D40" w:rsidRDefault="00344720" w:rsidP="00233FEE">
      <w:pPr>
        <w:jc w:val="both"/>
        <w:rPr>
          <w:lang w:val="en-US"/>
        </w:rPr>
      </w:pPr>
      <w:r>
        <w:rPr>
          <w:lang w:val="en-US"/>
        </w:rPr>
        <w:t>O</w:t>
      </w:r>
      <w:r w:rsidR="00233FEE" w:rsidRPr="00F24D40">
        <w:rPr>
          <w:lang w:val="en-US"/>
        </w:rPr>
        <w:t>b</w:t>
      </w:r>
      <w:r w:rsidR="00014516">
        <w:rPr>
          <w:lang w:val="en-US"/>
        </w:rPr>
        <w:t>ligații</w:t>
      </w:r>
      <w:r>
        <w:rPr>
          <w:lang w:val="en-US"/>
        </w:rPr>
        <w:t>le specifice ale partenerilor</w:t>
      </w:r>
    </w:p>
    <w:p w:rsidR="00233FEE" w:rsidRPr="00F24D40" w:rsidRDefault="003B5568" w:rsidP="003525C6">
      <w:pPr>
        <w:pStyle w:val="ListParagraph"/>
        <w:numPr>
          <w:ilvl w:val="0"/>
          <w:numId w:val="6"/>
        </w:numPr>
        <w:spacing w:after="0" w:line="240" w:lineRule="auto"/>
        <w:contextualSpacing w:val="0"/>
        <w:jc w:val="both"/>
        <w:rPr>
          <w:lang w:val="en-US"/>
        </w:rPr>
      </w:pPr>
      <w:r>
        <w:rPr>
          <w:lang w:val="en-US"/>
        </w:rPr>
        <w:t xml:space="preserve">Partenerii au </w:t>
      </w:r>
      <w:r w:rsidR="00233FEE" w:rsidRPr="00F24D40">
        <w:rPr>
          <w:lang w:val="en-US"/>
        </w:rPr>
        <w:t>obligația ca pe perioada de durabilitate prevăzută la art. 2 alin. (5) din Condiții generale, să asigure întreținerea/mentenanța investiției în conformitate cu prevederile legale în vigoare, în caz contrar AM POR poate dispune rezilierea și</w:t>
      </w:r>
      <w:r w:rsidR="00014516">
        <w:rPr>
          <w:lang w:val="en-US"/>
        </w:rPr>
        <w:t>/sau</w:t>
      </w:r>
      <w:r w:rsidR="0076741E">
        <w:rPr>
          <w:lang w:val="en-US"/>
        </w:rPr>
        <w:t xml:space="preserve"> recuperarea sumelor plătite</w:t>
      </w:r>
      <w:r w:rsidR="003525C6">
        <w:rPr>
          <w:lang w:val="en-US"/>
        </w:rPr>
        <w:t xml:space="preserve">, </w:t>
      </w:r>
      <w:r w:rsidR="003525C6" w:rsidRPr="003525C6">
        <w:rPr>
          <w:lang w:val="en-US"/>
        </w:rPr>
        <w:t xml:space="preserve">în conformitate cu prevederile prezentului </w:t>
      </w:r>
      <w:r w:rsidR="00D8575E">
        <w:rPr>
          <w:lang w:val="en-US"/>
        </w:rPr>
        <w:t>ordin.</w:t>
      </w:r>
    </w:p>
    <w:p w:rsidR="00233FEE" w:rsidRPr="00233FEE" w:rsidRDefault="00233FEE" w:rsidP="00AC0F54">
      <w:pPr>
        <w:spacing w:after="0" w:line="240" w:lineRule="auto"/>
        <w:jc w:val="both"/>
        <w:rPr>
          <w:lang w:val="en-US"/>
        </w:rPr>
      </w:pPr>
    </w:p>
    <w:p w:rsidR="005F5D1F" w:rsidRPr="00AC0F54" w:rsidRDefault="003B5568" w:rsidP="003525C6">
      <w:pPr>
        <w:pStyle w:val="ListParagraph"/>
        <w:numPr>
          <w:ilvl w:val="0"/>
          <w:numId w:val="6"/>
        </w:numPr>
        <w:jc w:val="both"/>
        <w:rPr>
          <w:lang w:val="en-US"/>
        </w:rPr>
      </w:pPr>
      <w:r w:rsidRPr="00B40C90">
        <w:rPr>
          <w:lang w:val="en-US"/>
        </w:rPr>
        <w:t>Partenerii au</w:t>
      </w:r>
      <w:r w:rsidR="0006479B" w:rsidRPr="00B40C90">
        <w:rPr>
          <w:lang w:val="en-US"/>
        </w:rPr>
        <w:t xml:space="preserve"> obligația </w:t>
      </w:r>
      <w:r w:rsidR="00AC0F54">
        <w:rPr>
          <w:lang w:val="en-US"/>
        </w:rPr>
        <w:t>s</w:t>
      </w:r>
      <w:r w:rsidR="00B40C90" w:rsidRPr="00B40C90">
        <w:rPr>
          <w:lang w:val="en-US"/>
        </w:rPr>
        <w:t>ă realizeze demersurile necesare pentru definitivarea activităţilor minime necesare pentru punerea în funcţiune a mijloacelor de transport public achiziţionate până</w:t>
      </w:r>
      <w:r w:rsidR="00AC0F54">
        <w:rPr>
          <w:lang w:val="en-US"/>
        </w:rPr>
        <w:t xml:space="preserve"> la data recepționării acestora, </w:t>
      </w:r>
      <w:r w:rsidR="00AC0F54" w:rsidRPr="00AC0F54">
        <w:rPr>
          <w:lang w:val="en-US"/>
        </w:rPr>
        <w:t>în caz contrar AM POR poate dispune rezilierea ș</w:t>
      </w:r>
      <w:r w:rsidR="00AC0F54">
        <w:rPr>
          <w:lang w:val="en-US"/>
        </w:rPr>
        <w:t>i recuperarea sumelor plătite</w:t>
      </w:r>
      <w:r w:rsidR="003525C6">
        <w:rPr>
          <w:lang w:val="en-US"/>
        </w:rPr>
        <w:t xml:space="preserve">, </w:t>
      </w:r>
      <w:r w:rsidR="003525C6" w:rsidRPr="003525C6">
        <w:rPr>
          <w:lang w:val="en-US"/>
        </w:rPr>
        <w:t>în conformitate cu prevederile prezentului</w:t>
      </w:r>
      <w:r w:rsidR="00D8575E">
        <w:rPr>
          <w:lang w:val="en-US"/>
        </w:rPr>
        <w:t xml:space="preserve"> ordin</w:t>
      </w:r>
      <w:r w:rsidR="00AC0F54">
        <w:rPr>
          <w:lang w:val="en-US"/>
        </w:rPr>
        <w:t>.</w:t>
      </w:r>
    </w:p>
    <w:p w:rsidR="005F5D1F" w:rsidRDefault="005F5D1F" w:rsidP="00AC0F54">
      <w:pPr>
        <w:pStyle w:val="ListParagraph"/>
        <w:ind w:left="1428"/>
        <w:jc w:val="both"/>
        <w:rPr>
          <w:lang w:val="en-US"/>
        </w:rPr>
      </w:pPr>
    </w:p>
    <w:p w:rsidR="0006479B" w:rsidRPr="005F5D1F" w:rsidRDefault="0006479B" w:rsidP="003525C6">
      <w:pPr>
        <w:pStyle w:val="ListParagraph"/>
        <w:numPr>
          <w:ilvl w:val="0"/>
          <w:numId w:val="6"/>
        </w:numPr>
        <w:jc w:val="both"/>
        <w:rPr>
          <w:lang w:val="en-US"/>
        </w:rPr>
      </w:pPr>
      <w:r w:rsidRPr="005F5D1F">
        <w:rPr>
          <w:lang w:val="en-US"/>
        </w:rPr>
        <w:t xml:space="preserve"> </w:t>
      </w:r>
      <w:r w:rsidR="005F5D1F" w:rsidRPr="005F5D1F">
        <w:rPr>
          <w:i/>
          <w:lang w:val="en-US"/>
        </w:rPr>
        <w:t>Dacă este cazul</w:t>
      </w:r>
      <w:r w:rsidR="00B40C90">
        <w:rPr>
          <w:rStyle w:val="FootnoteReference"/>
          <w:i/>
          <w:lang w:val="en-US"/>
        </w:rPr>
        <w:footnoteReference w:id="1"/>
      </w:r>
      <w:r w:rsidR="005F5D1F" w:rsidRPr="005F5D1F">
        <w:rPr>
          <w:i/>
          <w:lang w:val="en-US"/>
        </w:rPr>
        <w:t>,</w:t>
      </w:r>
      <w:r w:rsidR="005F5D1F">
        <w:rPr>
          <w:lang w:val="en-US"/>
        </w:rPr>
        <w:t xml:space="preserve"> partenerii au obligaţia să </w:t>
      </w:r>
      <w:r w:rsidR="005F5D1F" w:rsidRPr="005F5D1F">
        <w:rPr>
          <w:lang w:val="en-US"/>
        </w:rPr>
        <w:t xml:space="preserve">realizeze demersurile necesare pentru prezentarea Autorizaţiei de construire corespunzătoare lucrărilor de instalare a punctelor/stațiilor de reîncărcare a autobuzelor electrice, până la data recepționării autobuzelor electrice, dar nu mai târziu de 1 an de la data intrării în vigoare a </w:t>
      </w:r>
      <w:r w:rsidR="00D8575E">
        <w:rPr>
          <w:lang w:val="en-US"/>
        </w:rPr>
        <w:t xml:space="preserve">ordinului </w:t>
      </w:r>
      <w:r w:rsidR="005F5D1F" w:rsidRPr="005F5D1F">
        <w:rPr>
          <w:lang w:val="en-US"/>
        </w:rPr>
        <w:t>de finanțare.</w:t>
      </w:r>
    </w:p>
    <w:p w:rsidR="0006479B" w:rsidRDefault="0006479B" w:rsidP="005F5D1F">
      <w:pPr>
        <w:pStyle w:val="ListParagraph"/>
        <w:spacing w:after="0" w:line="240" w:lineRule="auto"/>
        <w:ind w:left="1428"/>
        <w:contextualSpacing w:val="0"/>
        <w:jc w:val="both"/>
        <w:rPr>
          <w:lang w:val="en-US"/>
        </w:rPr>
      </w:pPr>
    </w:p>
    <w:p w:rsidR="00233FEE" w:rsidRDefault="00233FEE" w:rsidP="005F5D1F">
      <w:pPr>
        <w:pStyle w:val="ListParagraph"/>
        <w:numPr>
          <w:ilvl w:val="0"/>
          <w:numId w:val="6"/>
        </w:numPr>
        <w:spacing w:after="0" w:line="240" w:lineRule="auto"/>
        <w:contextualSpacing w:val="0"/>
        <w:jc w:val="both"/>
        <w:rPr>
          <w:lang w:val="en-US"/>
        </w:rPr>
      </w:pPr>
      <w:r w:rsidRPr="00B40C90">
        <w:rPr>
          <w:i/>
          <w:lang w:val="en-US"/>
        </w:rPr>
        <w:t>Dacă este cazul</w:t>
      </w:r>
      <w:r>
        <w:rPr>
          <w:rStyle w:val="FootnoteReference"/>
          <w:lang w:val="en-US"/>
        </w:rPr>
        <w:footnoteReference w:id="2"/>
      </w:r>
      <w:r w:rsidR="003525C6">
        <w:rPr>
          <w:lang w:val="en-US"/>
        </w:rPr>
        <w:t>, partenerii au</w:t>
      </w:r>
      <w:r w:rsidRPr="00F24D40">
        <w:rPr>
          <w:lang w:val="en-US"/>
        </w:rPr>
        <w:t xml:space="preserve"> obligația implementării proiectelor/investiţiilor complementare </w:t>
      </w:r>
      <w:r w:rsidR="003525C6">
        <w:rPr>
          <w:lang w:val="en-US"/>
        </w:rPr>
        <w:t xml:space="preserve">activităţilor proprii ale </w:t>
      </w:r>
      <w:r w:rsidRPr="00F24D40">
        <w:rPr>
          <w:lang w:val="en-US"/>
        </w:rPr>
        <w:t xml:space="preserve">proiectului aferent prezentului </w:t>
      </w:r>
      <w:r w:rsidR="00D8575E">
        <w:rPr>
          <w:lang w:val="en-US"/>
        </w:rPr>
        <w:t xml:space="preserve">ordin </w:t>
      </w:r>
      <w:r w:rsidRPr="00F24D40">
        <w:rPr>
          <w:lang w:val="en-US"/>
        </w:rPr>
        <w:t>de finanţare până la data de 31.12.2023, în caz contrar AM POR poate dispune rezilierea și</w:t>
      </w:r>
      <w:r w:rsidR="002C0D45">
        <w:rPr>
          <w:lang w:val="en-US"/>
        </w:rPr>
        <w:t>/sau</w:t>
      </w:r>
      <w:r w:rsidRPr="00F24D40">
        <w:rPr>
          <w:lang w:val="en-US"/>
        </w:rPr>
        <w:t xml:space="preserve"> recuperarea sumelor plătite, în conformitate cu prevederile prezentului</w:t>
      </w:r>
      <w:r w:rsidR="00D8575E">
        <w:rPr>
          <w:lang w:val="en-US"/>
        </w:rPr>
        <w:t xml:space="preserve"> ordin</w:t>
      </w:r>
      <w:r w:rsidRPr="00F24D40">
        <w:rPr>
          <w:lang w:val="en-US"/>
        </w:rPr>
        <w:t xml:space="preserve">.  </w:t>
      </w:r>
    </w:p>
    <w:p w:rsidR="00DB16BD" w:rsidRPr="00DB16BD" w:rsidRDefault="00DB16BD" w:rsidP="00DB16BD">
      <w:pPr>
        <w:pStyle w:val="ListParagraph"/>
        <w:spacing w:after="0" w:line="240" w:lineRule="auto"/>
        <w:ind w:left="1428"/>
        <w:contextualSpacing w:val="0"/>
        <w:jc w:val="both"/>
        <w:rPr>
          <w:lang w:val="en-US"/>
        </w:rPr>
      </w:pPr>
    </w:p>
    <w:p w:rsidR="00233FEE" w:rsidRDefault="00B24B39" w:rsidP="00233FEE">
      <w:pPr>
        <w:pStyle w:val="ListParagraph"/>
        <w:numPr>
          <w:ilvl w:val="0"/>
          <w:numId w:val="6"/>
        </w:numPr>
        <w:spacing w:after="0" w:line="240" w:lineRule="auto"/>
        <w:contextualSpacing w:val="0"/>
        <w:jc w:val="both"/>
        <w:rPr>
          <w:lang w:val="en-US"/>
        </w:rPr>
      </w:pPr>
      <w:r>
        <w:rPr>
          <w:lang w:val="en-US"/>
        </w:rPr>
        <w:t>Partenerul</w:t>
      </w:r>
      <w:r w:rsidR="00233FEE" w:rsidRPr="00F24D40">
        <w:rPr>
          <w:lang w:val="en-US"/>
        </w:rPr>
        <w:t xml:space="preserve"> are obligaţia ca pe întreaga perioadă de durabilitate a </w:t>
      </w:r>
      <w:r w:rsidR="00D8575E">
        <w:rPr>
          <w:lang w:val="en-US"/>
        </w:rPr>
        <w:t>ordinulu</w:t>
      </w:r>
      <w:r w:rsidR="00233FEE" w:rsidRPr="00F24D40">
        <w:rPr>
          <w:lang w:val="en-US"/>
        </w:rPr>
        <w:t>i de finanţare, să asigure prestarea serviciului de transport public de călători, pentru care s-au realizat investiţii prin Obiectivul Specific 4.1 al POR 2014-2020, în caz contrar AM POR poate dispune rezilierea și recuperarea sumelor plătite, în conformitate cu prevederile prezentului</w:t>
      </w:r>
      <w:r w:rsidR="00D8575E">
        <w:rPr>
          <w:lang w:val="en-US"/>
        </w:rPr>
        <w:t xml:space="preserve"> ordin</w:t>
      </w:r>
      <w:r w:rsidR="00233FEE" w:rsidRPr="00F24D40">
        <w:rPr>
          <w:lang w:val="en-US"/>
        </w:rPr>
        <w:t>.</w:t>
      </w:r>
    </w:p>
    <w:p w:rsidR="00DB16BD" w:rsidRPr="00DB16BD" w:rsidRDefault="00DB16BD" w:rsidP="00DB16BD">
      <w:pPr>
        <w:pStyle w:val="ListParagraph"/>
        <w:spacing w:after="0" w:line="240" w:lineRule="auto"/>
        <w:ind w:left="1428"/>
        <w:contextualSpacing w:val="0"/>
        <w:jc w:val="both"/>
        <w:rPr>
          <w:lang w:val="en-US"/>
        </w:rPr>
      </w:pPr>
    </w:p>
    <w:p w:rsidR="00233FEE" w:rsidRPr="00F24D40" w:rsidRDefault="00B24B39" w:rsidP="008B481B">
      <w:pPr>
        <w:pStyle w:val="ListParagraph"/>
        <w:numPr>
          <w:ilvl w:val="0"/>
          <w:numId w:val="6"/>
        </w:numPr>
        <w:spacing w:after="0" w:line="240" w:lineRule="auto"/>
        <w:contextualSpacing w:val="0"/>
        <w:jc w:val="both"/>
        <w:rPr>
          <w:lang w:val="en-US"/>
        </w:rPr>
      </w:pPr>
      <w:r>
        <w:rPr>
          <w:lang w:val="en-US"/>
        </w:rPr>
        <w:t xml:space="preserve">Cu referire la </w:t>
      </w:r>
      <w:r w:rsidR="00DB16BD">
        <w:rPr>
          <w:lang w:val="en-US"/>
        </w:rPr>
        <w:t xml:space="preserve">obligaţia </w:t>
      </w:r>
      <w:r w:rsidR="008B481B">
        <w:rPr>
          <w:lang w:val="en-US"/>
        </w:rPr>
        <w:t xml:space="preserve">partenerului </w:t>
      </w:r>
      <w:r w:rsidR="00DB16BD">
        <w:rPr>
          <w:lang w:val="en-US"/>
        </w:rPr>
        <w:t>de prezentare a</w:t>
      </w:r>
      <w:r w:rsidR="00233FEE" w:rsidRPr="00F24D40">
        <w:rPr>
          <w:lang w:val="en-US"/>
        </w:rPr>
        <w:t xml:space="preserve"> unui Contract de delegare a gestiunii serviciului de transport public</w:t>
      </w:r>
      <w:r>
        <w:rPr>
          <w:lang w:val="en-US"/>
        </w:rPr>
        <w:t xml:space="preserve"> local</w:t>
      </w:r>
      <w:r w:rsidR="00233FEE" w:rsidRPr="00F24D40">
        <w:rPr>
          <w:lang w:val="en-US"/>
        </w:rPr>
        <w:t xml:space="preserve"> de călători/ Hotărâre de dare în administrare a prestării serviciului de transport public </w:t>
      </w:r>
      <w:r>
        <w:rPr>
          <w:lang w:val="en-US"/>
        </w:rPr>
        <w:t xml:space="preserve">local </w:t>
      </w:r>
      <w:r w:rsidR="00233FEE" w:rsidRPr="00F24D40">
        <w:rPr>
          <w:lang w:val="en-US"/>
        </w:rPr>
        <w:t>de călători,</w:t>
      </w:r>
      <w:r w:rsidR="008B481B" w:rsidRPr="008B481B">
        <w:t xml:space="preserve"> </w:t>
      </w:r>
      <w:r w:rsidR="008B481B" w:rsidRPr="008B481B">
        <w:rPr>
          <w:lang w:val="en-US"/>
        </w:rPr>
        <w:t>pe scurt, contract de servicii publice</w:t>
      </w:r>
      <w:r w:rsidR="008B481B">
        <w:rPr>
          <w:lang w:val="en-US"/>
        </w:rPr>
        <w:t>,</w:t>
      </w:r>
      <w:r w:rsidR="00233FEE" w:rsidRPr="00F24D40">
        <w:rPr>
          <w:lang w:val="en-US"/>
        </w:rPr>
        <w:t xml:space="preserve"> în conformitate cu R</w:t>
      </w:r>
      <w:r>
        <w:rPr>
          <w:lang w:val="en-US"/>
        </w:rPr>
        <w:t>egulamen</w:t>
      </w:r>
      <w:r w:rsidR="008B481B">
        <w:rPr>
          <w:lang w:val="en-US"/>
        </w:rPr>
        <w:t>tul (CE) nr. 1370/2007</w:t>
      </w:r>
      <w:r w:rsidR="00344687">
        <w:rPr>
          <w:lang w:val="en-US"/>
        </w:rPr>
        <w:t>, parten</w:t>
      </w:r>
      <w:r>
        <w:rPr>
          <w:lang w:val="en-US"/>
        </w:rPr>
        <w:t>erii au</w:t>
      </w:r>
      <w:r w:rsidR="00233FEE" w:rsidRPr="00F24D40">
        <w:rPr>
          <w:lang w:val="en-US"/>
        </w:rPr>
        <w:t xml:space="preserve"> următoarele obligaţii: </w:t>
      </w:r>
    </w:p>
    <w:p w:rsidR="00233FEE" w:rsidRDefault="00B24B39" w:rsidP="0076458B">
      <w:pPr>
        <w:pStyle w:val="ListParagraph"/>
        <w:numPr>
          <w:ilvl w:val="1"/>
          <w:numId w:val="6"/>
        </w:numPr>
        <w:spacing w:after="0" w:line="240" w:lineRule="auto"/>
        <w:contextualSpacing w:val="0"/>
        <w:jc w:val="both"/>
        <w:rPr>
          <w:lang w:val="en-US"/>
        </w:rPr>
      </w:pPr>
      <w:r>
        <w:rPr>
          <w:lang w:val="en-US"/>
        </w:rPr>
        <w:lastRenderedPageBreak/>
        <w:t xml:space="preserve">Partenerii au </w:t>
      </w:r>
      <w:r w:rsidR="00233FEE" w:rsidRPr="00F24D40">
        <w:rPr>
          <w:lang w:val="en-US"/>
        </w:rPr>
        <w:t xml:space="preserve">obligaţia de a depune </w:t>
      </w:r>
      <w:r w:rsidR="008B481B">
        <w:rPr>
          <w:lang w:val="en-US"/>
        </w:rPr>
        <w:t xml:space="preserve">contractul de servicii publice </w:t>
      </w:r>
      <w:r w:rsidR="00233FEE" w:rsidRPr="00F24D40">
        <w:rPr>
          <w:lang w:val="en-US"/>
        </w:rPr>
        <w:t>în conformitate cu prevederile Regulamentului (CE) nr. 1370/2007, precum şi avizele sau acordurile necesare, după</w:t>
      </w:r>
      <w:r w:rsidR="00233FEE">
        <w:rPr>
          <w:lang w:val="en-US"/>
        </w:rPr>
        <w:t xml:space="preserve"> caz, în termen de maximum 1 an</w:t>
      </w:r>
      <w:r w:rsidR="00233FEE">
        <w:rPr>
          <w:rStyle w:val="FootnoteReference"/>
          <w:lang w:val="en-US"/>
        </w:rPr>
        <w:footnoteReference w:id="3"/>
      </w:r>
      <w:r w:rsidR="00233FEE">
        <w:rPr>
          <w:lang w:val="en-US"/>
        </w:rPr>
        <w:t xml:space="preserve"> sau 18 luni</w:t>
      </w:r>
      <w:r w:rsidR="00233FEE">
        <w:rPr>
          <w:rStyle w:val="FootnoteReference"/>
          <w:lang w:val="en-US"/>
        </w:rPr>
        <w:footnoteReference w:id="4"/>
      </w:r>
      <w:r w:rsidR="00233FEE" w:rsidRPr="00F24D40">
        <w:rPr>
          <w:lang w:val="en-US"/>
        </w:rPr>
        <w:t xml:space="preserve">, de la semnarea </w:t>
      </w:r>
      <w:r w:rsidR="00D8575E">
        <w:rPr>
          <w:lang w:val="en-US"/>
        </w:rPr>
        <w:t xml:space="preserve">ordinului </w:t>
      </w:r>
      <w:r w:rsidR="00233FEE" w:rsidRPr="00F24D40">
        <w:rPr>
          <w:lang w:val="en-US"/>
        </w:rPr>
        <w:t xml:space="preserve">de finanţare, </w:t>
      </w:r>
      <w:r w:rsidR="008650CF">
        <w:rPr>
          <w:lang w:val="en-US"/>
        </w:rPr>
        <w:t xml:space="preserve">dar </w:t>
      </w:r>
      <w:r w:rsidR="008650CF">
        <w:rPr>
          <w:rFonts w:cstheme="minorHAnsi"/>
          <w:lang w:val="en-US"/>
        </w:rPr>
        <w:t>î</w:t>
      </w:r>
      <w:r w:rsidR="008650CF">
        <w:rPr>
          <w:lang w:val="en-US"/>
        </w:rPr>
        <w:t>nainte de</w:t>
      </w:r>
      <w:r w:rsidR="008B481B">
        <w:rPr>
          <w:lang w:val="en-US"/>
        </w:rPr>
        <w:t xml:space="preserve"> </w:t>
      </w:r>
      <w:r w:rsidR="008B481B" w:rsidRPr="008B481B">
        <w:rPr>
          <w:lang w:val="en-US"/>
        </w:rPr>
        <w:t>recepția finală a bunurilor ce fac obiectul Proiectului</w:t>
      </w:r>
      <w:r w:rsidR="008650CF">
        <w:rPr>
          <w:lang w:val="en-US"/>
        </w:rPr>
        <w:t xml:space="preserve">, </w:t>
      </w:r>
      <w:r w:rsidR="00233FEE" w:rsidRPr="00F24D40">
        <w:rPr>
          <w:lang w:val="en-US"/>
        </w:rPr>
        <w:t>în caz contrar AM POR poate dispune rezilierea și recuperarea sumelor plătite, în conformit</w:t>
      </w:r>
      <w:r w:rsidR="00D8575E">
        <w:rPr>
          <w:lang w:val="en-US"/>
        </w:rPr>
        <w:t>ate cu prevederile prezentului ordin</w:t>
      </w:r>
      <w:r w:rsidR="00233FEE" w:rsidRPr="00F24D40">
        <w:rPr>
          <w:lang w:val="en-US"/>
        </w:rPr>
        <w:t xml:space="preserve">. </w:t>
      </w:r>
    </w:p>
    <w:p w:rsidR="0076458B" w:rsidRPr="0076458B" w:rsidRDefault="0076458B" w:rsidP="0076458B">
      <w:pPr>
        <w:pStyle w:val="ListParagraph"/>
        <w:numPr>
          <w:ilvl w:val="1"/>
          <w:numId w:val="6"/>
        </w:numPr>
        <w:jc w:val="both"/>
        <w:rPr>
          <w:lang w:val="en-US"/>
        </w:rPr>
      </w:pPr>
      <w:r w:rsidRPr="0076458B">
        <w:rPr>
          <w:lang w:val="en-US"/>
        </w:rPr>
        <w:t>Partenerii au obligaţia în termen de maxim 60 de zile de la recepția mijloacelor de transport/echipamentelor achiziționate prin Proiect să le pună la dispoziţia operatorilor de transport/transportatorilor autorizaţi cu care au încheiat contractul de servicii publice conform cu Regulamentul (CE) nr. 1370/2007.</w:t>
      </w:r>
    </w:p>
    <w:p w:rsidR="00BD169A" w:rsidRPr="00F24D40" w:rsidRDefault="00B24B39" w:rsidP="0076458B">
      <w:pPr>
        <w:pStyle w:val="ListParagraph"/>
        <w:numPr>
          <w:ilvl w:val="1"/>
          <w:numId w:val="6"/>
        </w:numPr>
        <w:spacing w:after="0" w:line="240" w:lineRule="auto"/>
        <w:contextualSpacing w:val="0"/>
        <w:jc w:val="both"/>
        <w:rPr>
          <w:lang w:val="en-US"/>
        </w:rPr>
      </w:pPr>
      <w:r w:rsidRPr="00B24B39">
        <w:rPr>
          <w:lang w:val="en-US"/>
        </w:rPr>
        <w:t xml:space="preserve">Partenerii au </w:t>
      </w:r>
      <w:r w:rsidR="00BD169A" w:rsidRPr="00BD169A">
        <w:rPr>
          <w:lang w:val="en-US"/>
        </w:rPr>
        <w:t>obligaţia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w:t>
      </w:r>
      <w:r w:rsidR="00D8575E">
        <w:rPr>
          <w:lang w:val="en-US"/>
        </w:rPr>
        <w:t>ea perioadei de durabilitate a ordinului</w:t>
      </w:r>
      <w:r w:rsidR="00BD169A" w:rsidRPr="00BD169A">
        <w:rPr>
          <w:lang w:val="en-US"/>
        </w:rPr>
        <w:t xml:space="preserve"> de finanţare, în caz contrar AM POR poate dispune rezilierea și recuperarea sumelor plătite, în conformitate cu prevederile prezentului</w:t>
      </w:r>
      <w:r w:rsidR="00D8575E">
        <w:rPr>
          <w:lang w:val="en-US"/>
        </w:rPr>
        <w:t xml:space="preserve"> ordin</w:t>
      </w:r>
      <w:r w:rsidR="00BD169A" w:rsidRPr="00BD169A">
        <w:rPr>
          <w:lang w:val="en-US"/>
        </w:rPr>
        <w:t>.</w:t>
      </w:r>
    </w:p>
    <w:p w:rsidR="00233FEE" w:rsidRPr="00F24D40" w:rsidRDefault="00233FEE" w:rsidP="00233FEE">
      <w:pPr>
        <w:pStyle w:val="ListParagraph"/>
        <w:numPr>
          <w:ilvl w:val="1"/>
          <w:numId w:val="6"/>
        </w:numPr>
        <w:spacing w:after="0" w:line="240" w:lineRule="auto"/>
        <w:contextualSpacing w:val="0"/>
        <w:jc w:val="both"/>
        <w:rPr>
          <w:lang w:val="en-US"/>
        </w:rPr>
      </w:pPr>
      <w:r w:rsidRPr="00B24B39">
        <w:rPr>
          <w:i/>
          <w:lang w:val="en-US"/>
        </w:rPr>
        <w:t>Dacă este cazul,</w:t>
      </w:r>
      <w:r w:rsidRPr="00F24D40">
        <w:rPr>
          <w:lang w:val="en-US"/>
        </w:rPr>
        <w:t xml:space="preserve"> În situaţia în care la momentul depunerii Cererii de finanţare operatorul de transport</w:t>
      </w:r>
      <w:r w:rsidR="00B24B39">
        <w:rPr>
          <w:lang w:val="en-US"/>
        </w:rPr>
        <w:t xml:space="preserve"> al partenerului</w:t>
      </w:r>
      <w:r w:rsidRPr="00F24D40">
        <w:rPr>
          <w:lang w:val="en-US"/>
        </w:rPr>
        <w:t xml:space="preserve"> este reprezentat de o regie autonomă de interes local/judeţean se vor respecta pr</w:t>
      </w:r>
      <w:r>
        <w:rPr>
          <w:lang w:val="en-US"/>
        </w:rPr>
        <w:t>evederile din Legea nr. 51/2006</w:t>
      </w:r>
      <w:r w:rsidRPr="00F24D40">
        <w:rPr>
          <w:lang w:val="en-US"/>
        </w:rPr>
        <w:t xml:space="preserve"> republicată, cu modificările şi completările ulterioare</w:t>
      </w:r>
      <w:r>
        <w:rPr>
          <w:rStyle w:val="FootnoteReference"/>
          <w:lang w:val="en-US"/>
        </w:rPr>
        <w:footnoteReference w:id="5"/>
      </w:r>
      <w:r w:rsidRPr="00F24D40">
        <w:rPr>
          <w:lang w:val="en-US"/>
        </w:rPr>
        <w:t>, privind forma de organizare a operatorului.</w:t>
      </w:r>
    </w:p>
    <w:p w:rsidR="00233FEE" w:rsidRDefault="00233FEE" w:rsidP="00233FEE">
      <w:pPr>
        <w:pStyle w:val="ListParagraph"/>
        <w:numPr>
          <w:ilvl w:val="1"/>
          <w:numId w:val="6"/>
        </w:numPr>
        <w:spacing w:after="0" w:line="240" w:lineRule="auto"/>
        <w:contextualSpacing w:val="0"/>
        <w:jc w:val="both"/>
        <w:rPr>
          <w:lang w:val="en-US"/>
        </w:rPr>
      </w:pPr>
      <w:r w:rsidRPr="00B24B39">
        <w:rPr>
          <w:i/>
          <w:lang w:val="en-US"/>
        </w:rPr>
        <w:t>D</w:t>
      </w:r>
      <w:r w:rsidR="00B24B39" w:rsidRPr="00B24B39">
        <w:rPr>
          <w:i/>
          <w:lang w:val="en-US"/>
        </w:rPr>
        <w:t>acă este cazul</w:t>
      </w:r>
      <w:r w:rsidR="00B24B39">
        <w:rPr>
          <w:rStyle w:val="FootnoteReference"/>
          <w:lang w:val="en-US"/>
        </w:rPr>
        <w:footnoteReference w:id="6"/>
      </w:r>
      <w:r w:rsidR="00B24B39">
        <w:rPr>
          <w:lang w:val="en-US"/>
        </w:rPr>
        <w:t>, Partenerii au</w:t>
      </w:r>
      <w:r w:rsidRPr="00F24D40">
        <w:rPr>
          <w:lang w:val="en-US"/>
        </w:rPr>
        <w:t xml:space="preserve"> obligaţia de a încasa redevenţa în cuantumul stabilit prin contractul de delegare a gestiunii serviciului de transport public de călători. </w:t>
      </w:r>
    </w:p>
    <w:p w:rsidR="0076458B" w:rsidRPr="0076458B" w:rsidRDefault="0076458B" w:rsidP="0076458B">
      <w:pPr>
        <w:spacing w:after="0" w:line="240" w:lineRule="auto"/>
        <w:jc w:val="both"/>
        <w:rPr>
          <w:lang w:val="en-US"/>
        </w:rPr>
      </w:pPr>
    </w:p>
    <w:p w:rsidR="00233FEE" w:rsidRPr="00F24D40" w:rsidRDefault="00233FEE" w:rsidP="00233FEE">
      <w:pPr>
        <w:pStyle w:val="ListParagraph"/>
        <w:numPr>
          <w:ilvl w:val="1"/>
          <w:numId w:val="6"/>
        </w:numPr>
        <w:spacing w:after="0" w:line="240" w:lineRule="auto"/>
        <w:contextualSpacing w:val="0"/>
        <w:jc w:val="both"/>
        <w:rPr>
          <w:lang w:val="en-US"/>
        </w:rPr>
      </w:pPr>
      <w:r>
        <w:rPr>
          <w:lang w:val="en-US"/>
        </w:rPr>
        <w:t>Pe perioada de implementare</w:t>
      </w:r>
      <w:r>
        <w:rPr>
          <w:rStyle w:val="FootnoteReference"/>
          <w:lang w:val="en-US"/>
        </w:rPr>
        <w:footnoteReference w:id="7"/>
      </w:r>
      <w:r w:rsidR="00D8575E">
        <w:rPr>
          <w:lang w:val="en-US"/>
        </w:rPr>
        <w:t xml:space="preserve"> şi a durabilităţii ordinului </w:t>
      </w:r>
      <w:r w:rsidR="00B24B39">
        <w:rPr>
          <w:lang w:val="en-US"/>
        </w:rPr>
        <w:t>de finanţare, partenerii au</w:t>
      </w:r>
      <w:r w:rsidRPr="00F24D40">
        <w:rPr>
          <w:lang w:val="en-US"/>
        </w:rPr>
        <w:t xml:space="preserv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233FEE" w:rsidRPr="00F24D40" w:rsidRDefault="00B24B39" w:rsidP="00233FEE">
      <w:pPr>
        <w:pStyle w:val="ListParagraph"/>
        <w:numPr>
          <w:ilvl w:val="1"/>
          <w:numId w:val="6"/>
        </w:numPr>
        <w:spacing w:after="0" w:line="240" w:lineRule="auto"/>
        <w:contextualSpacing w:val="0"/>
        <w:jc w:val="both"/>
        <w:rPr>
          <w:lang w:val="en-US"/>
        </w:rPr>
      </w:pPr>
      <w:r>
        <w:rPr>
          <w:lang w:val="en-US"/>
        </w:rPr>
        <w:t xml:space="preserve">Partenerii au </w:t>
      </w:r>
      <w:r w:rsidR="00233FEE" w:rsidRPr="00F24D40">
        <w:rPr>
          <w:lang w:val="en-US"/>
        </w:rPr>
        <w:t>obligaţia ca pe to</w:t>
      </w:r>
      <w:r w:rsidR="00D8575E">
        <w:rPr>
          <w:lang w:val="en-US"/>
        </w:rPr>
        <w:t>ată perioada de durabilitate a ordinulu</w:t>
      </w:r>
      <w:r w:rsidR="00233FEE" w:rsidRPr="00F24D40">
        <w:rPr>
          <w:lang w:val="en-US"/>
        </w:rPr>
        <w:t xml:space="preserve">i de finanţare să nu ofere o compensaţie financiară care să depășeasca efectului financiar net, conform art. 2 din Anexa la Regulamentul (CE) nr. 1370/2007. În cazul înregistrării unei supracompensări anuale acordate operatorului de </w:t>
      </w:r>
      <w:r w:rsidR="00233FEE" w:rsidRPr="00F24D40">
        <w:rPr>
          <w:lang w:val="en-US"/>
        </w:rPr>
        <w:lastRenderedPageBreak/>
        <w:t>transport public, beneficiarul are obligaţia să recupereze de la operator diferenţa până la valoarea corespunzătoare compensaţiei datorate.</w:t>
      </w:r>
    </w:p>
    <w:p w:rsidR="00233FEE" w:rsidRPr="00F24D40" w:rsidRDefault="00233FEE" w:rsidP="00233FEE">
      <w:pPr>
        <w:pStyle w:val="ListParagraph"/>
        <w:numPr>
          <w:ilvl w:val="1"/>
          <w:numId w:val="6"/>
        </w:numPr>
        <w:spacing w:after="0" w:line="240" w:lineRule="auto"/>
        <w:contextualSpacing w:val="0"/>
        <w:jc w:val="both"/>
        <w:rPr>
          <w:lang w:val="en-US"/>
        </w:rPr>
      </w:pPr>
      <w:r w:rsidRPr="00F24D40">
        <w:rPr>
          <w:lang w:val="en-US"/>
        </w:rPr>
        <w:t>Dacă este cazul, După prezentarea contractului de delegare a gestiunii/ Hotărârii de dare în administrare a prestării serviciului de transport public de călători, conform cu Regulamentul (CE) nr. 1370/2007, oricând se solicită de către AMPOR sau de către alte instit</w:t>
      </w:r>
      <w:r w:rsidR="00B24B39">
        <w:rPr>
          <w:lang w:val="en-US"/>
        </w:rPr>
        <w:t>uții abilitate, partenerii au</w:t>
      </w:r>
      <w:r w:rsidRPr="00F24D40">
        <w:rPr>
          <w:lang w:val="en-US"/>
        </w:rPr>
        <w:t xml:space="preserv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233FEE" w:rsidRPr="00F24D40" w:rsidRDefault="00233FEE" w:rsidP="00233FEE">
      <w:pPr>
        <w:pStyle w:val="ListParagraph"/>
        <w:jc w:val="both"/>
        <w:rPr>
          <w:lang w:val="en-US"/>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p w:rsidR="00233FEE" w:rsidRDefault="00233FEE" w:rsidP="00643577">
      <w:pPr>
        <w:keepNext/>
        <w:spacing w:after="0" w:line="240" w:lineRule="auto"/>
        <w:jc w:val="both"/>
        <w:outlineLvl w:val="1"/>
        <w:rPr>
          <w:rFonts w:ascii="Trebuchet MS" w:eastAsia="Times New Roman" w:hAnsi="Trebuchet MS" w:cs="Times New Roman"/>
          <w:b/>
          <w:noProof w:val="0"/>
          <w:sz w:val="20"/>
          <w:szCs w:val="20"/>
        </w:rPr>
      </w:pPr>
    </w:p>
    <w:bookmarkEnd w:id="0"/>
    <w:p w:rsidR="00643577" w:rsidRPr="008F5862" w:rsidRDefault="00643577" w:rsidP="00643577">
      <w:pPr>
        <w:jc w:val="both"/>
        <w:rPr>
          <w:rFonts w:ascii="Trebuchet MS" w:hAnsi="Trebuchet MS"/>
          <w:sz w:val="20"/>
          <w:szCs w:val="20"/>
        </w:rPr>
      </w:pPr>
    </w:p>
    <w:sectPr w:rsidR="00643577" w:rsidRPr="008F586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35E" w:rsidRDefault="00BC435E" w:rsidP="009B0858">
      <w:pPr>
        <w:spacing w:after="0" w:line="240" w:lineRule="auto"/>
      </w:pPr>
      <w:r>
        <w:separator/>
      </w:r>
    </w:p>
  </w:endnote>
  <w:endnote w:type="continuationSeparator" w:id="0">
    <w:p w:rsidR="00BC435E" w:rsidRDefault="00BC435E"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1734082"/>
      <w:docPartObj>
        <w:docPartGallery w:val="Page Numbers (Bottom of Page)"/>
        <w:docPartUnique/>
      </w:docPartObj>
    </w:sdtPr>
    <w:sdtEndPr>
      <w:rPr>
        <w:noProof/>
      </w:rPr>
    </w:sdtEndPr>
    <w:sdtContent>
      <w:p w:rsidR="00233FEE" w:rsidRDefault="00233FEE">
        <w:pPr>
          <w:pStyle w:val="Footer"/>
          <w:jc w:val="right"/>
        </w:pPr>
        <w:r>
          <w:rPr>
            <w:noProof w:val="0"/>
          </w:rPr>
          <w:fldChar w:fldCharType="begin"/>
        </w:r>
        <w:r>
          <w:instrText xml:space="preserve"> PAGE   \* MERGEFORMAT </w:instrText>
        </w:r>
        <w:r>
          <w:rPr>
            <w:noProof w:val="0"/>
          </w:rPr>
          <w:fldChar w:fldCharType="separate"/>
        </w:r>
        <w:r w:rsidR="00D8575E">
          <w:t>3</w:t>
        </w:r>
        <w:r>
          <w:fldChar w:fldCharType="end"/>
        </w:r>
      </w:p>
    </w:sdtContent>
  </w:sdt>
  <w:p w:rsidR="00A665AF" w:rsidRDefault="00A665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35E" w:rsidRDefault="00BC435E" w:rsidP="009B0858">
      <w:pPr>
        <w:spacing w:after="0" w:line="240" w:lineRule="auto"/>
      </w:pPr>
      <w:r>
        <w:separator/>
      </w:r>
    </w:p>
  </w:footnote>
  <w:footnote w:type="continuationSeparator" w:id="0">
    <w:p w:rsidR="00BC435E" w:rsidRDefault="00BC435E" w:rsidP="009B0858">
      <w:pPr>
        <w:spacing w:after="0" w:line="240" w:lineRule="auto"/>
      </w:pPr>
      <w:r>
        <w:continuationSeparator/>
      </w:r>
    </w:p>
  </w:footnote>
  <w:footnote w:id="1">
    <w:p w:rsidR="00B40C90" w:rsidRPr="00B40C90" w:rsidRDefault="00B40C90">
      <w:pPr>
        <w:pStyle w:val="FootnoteText"/>
        <w:rPr>
          <w:lang w:val="en-US"/>
        </w:rPr>
      </w:pPr>
      <w:r>
        <w:rPr>
          <w:rStyle w:val="FootnoteReference"/>
        </w:rPr>
        <w:footnoteRef/>
      </w:r>
      <w:r>
        <w:t xml:space="preserve"> </w:t>
      </w:r>
      <w:r>
        <w:rPr>
          <w:lang w:val="en-US"/>
        </w:rPr>
        <w:t>Dacă partenerii achiziţionează autobuze electrice;</w:t>
      </w:r>
    </w:p>
  </w:footnote>
  <w:footnote w:id="2">
    <w:p w:rsidR="00233FEE" w:rsidRPr="006A69A4" w:rsidRDefault="00233FEE" w:rsidP="00233FEE">
      <w:pPr>
        <w:pStyle w:val="FootnoteText"/>
        <w:jc w:val="both"/>
        <w:rPr>
          <w:lang w:val="en-US"/>
        </w:rPr>
      </w:pPr>
      <w:r>
        <w:rPr>
          <w:rStyle w:val="FootnoteReference"/>
        </w:rPr>
        <w:footnoteRef/>
      </w:r>
      <w:r w:rsidRPr="006A69A4">
        <w:t>Dacă solicitantul justifică complementaritatea activităţilor</w:t>
      </w:r>
      <w:r w:rsidR="006D3721">
        <w:t xml:space="preserve"> proprii ale</w:t>
      </w:r>
      <w:r w:rsidRPr="006A69A4">
        <w:t xml:space="preserve"> proiectului prin alte proiecte/investiţii complementare</w:t>
      </w:r>
      <w:r w:rsidR="00B40C90">
        <w:t>, faţă</w:t>
      </w:r>
      <w:r w:rsidR="003B5568">
        <w:t xml:space="preserve"> de cele minime necesare pentru punerea în funcţiune a </w:t>
      </w:r>
      <w:r w:rsidR="00B40C90">
        <w:t>mijloacelor de transport achiziţ</w:t>
      </w:r>
      <w:r w:rsidR="003B5568">
        <w:t>ionate</w:t>
      </w:r>
      <w:r w:rsidR="00B40C90">
        <w:t xml:space="preserve"> prin proiect</w:t>
      </w:r>
      <w:r w:rsidRPr="006A69A4">
        <w:t>.</w:t>
      </w:r>
    </w:p>
  </w:footnote>
  <w:footnote w:id="3">
    <w:p w:rsidR="00233FEE" w:rsidRPr="0048411D" w:rsidRDefault="00233FEE" w:rsidP="00233FEE">
      <w:pPr>
        <w:pStyle w:val="FootnoteText"/>
        <w:jc w:val="both"/>
        <w:rPr>
          <w:lang w:val="en-US"/>
        </w:rPr>
      </w:pPr>
      <w:r>
        <w:rPr>
          <w:rStyle w:val="FootnoteReference"/>
        </w:rPr>
        <w:footnoteRef/>
      </w:r>
      <w:r>
        <w:t xml:space="preserve"> </w:t>
      </w:r>
      <w:r w:rsidRPr="0048411D">
        <w:t>În cazul atribuirii directe a contractului/furnizării serviciului;</w:t>
      </w:r>
    </w:p>
  </w:footnote>
  <w:footnote w:id="4">
    <w:p w:rsidR="00233FEE" w:rsidRPr="0048411D" w:rsidRDefault="00233FEE" w:rsidP="00233FEE">
      <w:pPr>
        <w:pStyle w:val="FootnoteText"/>
        <w:jc w:val="both"/>
        <w:rPr>
          <w:lang w:val="en-US"/>
        </w:rPr>
      </w:pPr>
      <w:r>
        <w:rPr>
          <w:rStyle w:val="FootnoteReference"/>
        </w:rPr>
        <w:footnoteRef/>
      </w:r>
      <w:r>
        <w:t xml:space="preserve"> </w:t>
      </w:r>
      <w:r w:rsidRPr="0048411D">
        <w:t xml:space="preserve">Doar în cazul atribuirii contractelor prin procedură competitivă şi pentru situaţia în care se solicită acordul Comisiei Europene pentru </w:t>
      </w:r>
      <w:bookmarkStart w:id="1" w:name="_GoBack"/>
      <w:r w:rsidRPr="0048411D">
        <w:t>contract</w:t>
      </w:r>
      <w:bookmarkEnd w:id="1"/>
      <w:r w:rsidRPr="0048411D">
        <w:t>e atribuite înainte de 03.12.2009;</w:t>
      </w:r>
    </w:p>
  </w:footnote>
  <w:footnote w:id="5">
    <w:p w:rsidR="00233FEE" w:rsidRPr="0048411D" w:rsidRDefault="00233FEE" w:rsidP="00233FEE">
      <w:pPr>
        <w:pStyle w:val="FootnoteText"/>
        <w:rPr>
          <w:lang w:val="en-US"/>
        </w:rPr>
      </w:pPr>
      <w:r>
        <w:rPr>
          <w:rStyle w:val="FootnoteReference"/>
        </w:rPr>
        <w:footnoteRef/>
      </w:r>
      <w:r>
        <w:t xml:space="preserve"> </w:t>
      </w:r>
      <w:r w:rsidRPr="0048411D">
        <w:t>Art</w:t>
      </w:r>
      <w:r>
        <w:t>.</w:t>
      </w:r>
      <w:r w:rsidRPr="0048411D">
        <w:t xml:space="preserve"> 28, alin. (3) privind regiile autonome;</w:t>
      </w:r>
    </w:p>
  </w:footnote>
  <w:footnote w:id="6">
    <w:p w:rsidR="00B24B39" w:rsidRPr="00B24B39" w:rsidRDefault="00B24B39">
      <w:pPr>
        <w:pStyle w:val="FootnoteText"/>
        <w:rPr>
          <w:lang w:val="en-US"/>
        </w:rPr>
      </w:pPr>
      <w:r>
        <w:rPr>
          <w:rStyle w:val="FootnoteReference"/>
        </w:rPr>
        <w:footnoteRef/>
      </w:r>
      <w:r>
        <w:t xml:space="preserve"> </w:t>
      </w:r>
      <w:r>
        <w:rPr>
          <w:lang w:val="en-US"/>
        </w:rPr>
        <w:t>Dacă se prevede acest lucru prin contractul de servicii publice;</w:t>
      </w:r>
    </w:p>
  </w:footnote>
  <w:footnote w:id="7">
    <w:p w:rsidR="00233FEE" w:rsidRPr="0048411D" w:rsidRDefault="00233FEE" w:rsidP="00233FEE">
      <w:pPr>
        <w:pStyle w:val="FootnoteText"/>
        <w:rPr>
          <w:lang w:val="en-US"/>
        </w:rPr>
      </w:pPr>
      <w:r>
        <w:rPr>
          <w:rStyle w:val="FootnoteReference"/>
        </w:rPr>
        <w:footnoteRef/>
      </w:r>
      <w:r>
        <w:t xml:space="preserve"> </w:t>
      </w:r>
      <w:r w:rsidRPr="0048411D">
        <w:t>Ulterior prezentării contractului de servicii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32" w:type="dxa"/>
      <w:tblInd w:w="108" w:type="dxa"/>
      <w:tblBorders>
        <w:insideH w:val="single" w:sz="4" w:space="0" w:color="808080"/>
      </w:tblBorders>
      <w:tblLook w:val="0000" w:firstRow="0" w:lastRow="0" w:firstColumn="0" w:lastColumn="0" w:noHBand="0" w:noVBand="0"/>
    </w:tblPr>
    <w:tblGrid>
      <w:gridCol w:w="8932"/>
    </w:tblGrid>
    <w:tr w:rsidR="006007F8" w:rsidRPr="006007F8" w:rsidTr="009D23AA">
      <w:trPr>
        <w:trHeight w:val="286"/>
      </w:trPr>
      <w:tc>
        <w:tcPr>
          <w:tcW w:w="8932" w:type="dxa"/>
        </w:tcPr>
        <w:p w:rsidR="006007F8" w:rsidRPr="006007F8" w:rsidRDefault="006007F8" w:rsidP="006007F8">
          <w:pPr>
            <w:spacing w:after="0" w:line="240" w:lineRule="auto"/>
            <w:rPr>
              <w:rFonts w:ascii="Trebuchet MS" w:eastAsia="Times New Roman" w:hAnsi="Trebuchet MS" w:cs="Times New Roman"/>
              <w:b/>
              <w:noProof w:val="0"/>
              <w:color w:val="808080"/>
              <w:sz w:val="14"/>
              <w:szCs w:val="24"/>
            </w:rPr>
          </w:pPr>
          <w:r w:rsidRPr="006007F8">
            <w:rPr>
              <w:rFonts w:ascii="Trebuchet MS" w:eastAsia="Times New Roman" w:hAnsi="Trebuchet MS" w:cs="Times New Roman"/>
              <w:b/>
              <w:noProof w:val="0"/>
              <w:color w:val="808080"/>
              <w:sz w:val="14"/>
              <w:szCs w:val="24"/>
            </w:rPr>
            <w:t>Programul Operaţional Regional 2014-2020</w:t>
          </w:r>
        </w:p>
      </w:tc>
    </w:tr>
    <w:tr w:rsidR="006007F8" w:rsidRPr="006007F8" w:rsidTr="009D23AA">
      <w:trPr>
        <w:cantSplit/>
        <w:trHeight w:val="383"/>
      </w:trPr>
      <w:tc>
        <w:tcPr>
          <w:tcW w:w="8932" w:type="dxa"/>
        </w:tcPr>
        <w:p w:rsidR="006007F8" w:rsidRPr="006007F8" w:rsidRDefault="006007F8" w:rsidP="006007F8">
          <w:pPr>
            <w:spacing w:after="0" w:line="240" w:lineRule="auto"/>
            <w:jc w:val="right"/>
            <w:rPr>
              <w:rFonts w:ascii="Trebuchet MS" w:eastAsia="Times New Roman" w:hAnsi="Trebuchet MS" w:cs="Times New Roman"/>
              <w:b/>
              <w:bCs/>
              <w:noProof w:val="0"/>
              <w:color w:val="808080"/>
              <w:sz w:val="14"/>
              <w:szCs w:val="24"/>
            </w:rPr>
          </w:pPr>
          <w:r w:rsidRPr="006007F8">
            <w:rPr>
              <w:rFonts w:ascii="Trebuchet MS" w:eastAsia="Times New Roman" w:hAnsi="Trebuchet MS" w:cs="Times New Roman"/>
              <w:b/>
              <w:bCs/>
              <w:noProof w:val="0"/>
              <w:color w:val="808080"/>
              <w:sz w:val="14"/>
              <w:szCs w:val="24"/>
            </w:rPr>
            <w:t xml:space="preserve"> </w:t>
          </w:r>
        </w:p>
        <w:p w:rsidR="006007F8" w:rsidRPr="006007F8" w:rsidRDefault="006007F8" w:rsidP="006007F8">
          <w:pPr>
            <w:spacing w:after="0" w:line="240" w:lineRule="auto"/>
            <w:jc w:val="right"/>
            <w:rPr>
              <w:rFonts w:ascii="Trebuchet MS" w:eastAsia="Times New Roman" w:hAnsi="Trebuchet MS" w:cs="Times New Roman"/>
              <w:b/>
              <w:bCs/>
              <w:noProof w:val="0"/>
              <w:color w:val="808080"/>
              <w:sz w:val="14"/>
              <w:szCs w:val="24"/>
            </w:rPr>
          </w:pPr>
          <w:r w:rsidRPr="006007F8">
            <w:rPr>
              <w:rFonts w:ascii="Trebuchet MS" w:eastAsia="Times New Roman" w:hAnsi="Trebuchet MS" w:cs="Times New Roman"/>
              <w:b/>
              <w:bCs/>
              <w:i/>
              <w:noProof w:val="0"/>
              <w:color w:val="808080"/>
              <w:sz w:val="14"/>
              <w:szCs w:val="24"/>
            </w:rPr>
            <w:t>Ghidul Solicitantului – Condiții specifice de accesare a fondurilor în cadrul apelului de proiecte cu numărul POR/2018/4/4.1/3/în parteneriat</w:t>
          </w:r>
        </w:p>
        <w:p w:rsidR="006007F8" w:rsidRPr="006007F8" w:rsidRDefault="006007F8" w:rsidP="006007F8">
          <w:pPr>
            <w:spacing w:after="0" w:line="240" w:lineRule="auto"/>
            <w:jc w:val="right"/>
            <w:rPr>
              <w:rFonts w:ascii="Trebuchet MS" w:eastAsia="Times New Roman" w:hAnsi="Trebuchet MS" w:cs="Times New Roman"/>
              <w:b/>
              <w:bCs/>
              <w:noProof w:val="0"/>
              <w:color w:val="808080"/>
              <w:sz w:val="14"/>
              <w:szCs w:val="24"/>
            </w:rPr>
          </w:pPr>
        </w:p>
        <w:p w:rsidR="006007F8" w:rsidRPr="006007F8" w:rsidRDefault="006007F8" w:rsidP="006007F8">
          <w:pPr>
            <w:spacing w:after="0" w:line="240" w:lineRule="auto"/>
            <w:jc w:val="right"/>
            <w:rPr>
              <w:rFonts w:ascii="Trebuchet MS" w:eastAsia="Times New Roman" w:hAnsi="Trebuchet MS" w:cs="Times New Roman"/>
              <w:b/>
              <w:bCs/>
              <w:noProof w:val="0"/>
              <w:color w:val="808080"/>
              <w:sz w:val="14"/>
              <w:szCs w:val="24"/>
            </w:rPr>
          </w:pPr>
          <w:r>
            <w:rPr>
              <w:rFonts w:ascii="Trebuchet MS" w:eastAsia="Times New Roman" w:hAnsi="Trebuchet MS" w:cs="Times New Roman"/>
              <w:b/>
              <w:bCs/>
              <w:noProof w:val="0"/>
              <w:color w:val="808080"/>
              <w:sz w:val="14"/>
              <w:szCs w:val="24"/>
            </w:rPr>
            <w:t>Anexa 4.1.3</w:t>
          </w:r>
          <w:r w:rsidRPr="006007F8">
            <w:rPr>
              <w:rFonts w:ascii="Trebuchet MS" w:eastAsia="Times New Roman" w:hAnsi="Trebuchet MS" w:cs="Times New Roman"/>
              <w:b/>
              <w:bCs/>
              <w:noProof w:val="0"/>
              <w:color w:val="808080"/>
              <w:sz w:val="14"/>
              <w:szCs w:val="24"/>
            </w:rPr>
            <w:t xml:space="preserve"> </w:t>
          </w:r>
        </w:p>
      </w:tc>
    </w:tr>
  </w:tbl>
  <w:p w:rsidR="009B0858" w:rsidRPr="006007F8" w:rsidRDefault="009B0858" w:rsidP="006007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4"/>
  </w:num>
  <w:num w:numId="2">
    <w:abstractNumId w:val="0"/>
  </w:num>
  <w:num w:numId="3">
    <w:abstractNumId w:val="3"/>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2884"/>
    <w:rsid w:val="0000568B"/>
    <w:rsid w:val="00006A1E"/>
    <w:rsid w:val="00014516"/>
    <w:rsid w:val="00014528"/>
    <w:rsid w:val="0001670E"/>
    <w:rsid w:val="00020255"/>
    <w:rsid w:val="000277EB"/>
    <w:rsid w:val="000326C1"/>
    <w:rsid w:val="000443B5"/>
    <w:rsid w:val="00044ED2"/>
    <w:rsid w:val="000465BB"/>
    <w:rsid w:val="00053B1D"/>
    <w:rsid w:val="000577FC"/>
    <w:rsid w:val="0006318B"/>
    <w:rsid w:val="00063CF7"/>
    <w:rsid w:val="0006479B"/>
    <w:rsid w:val="00064B02"/>
    <w:rsid w:val="00065CEC"/>
    <w:rsid w:val="0007409D"/>
    <w:rsid w:val="00075A4B"/>
    <w:rsid w:val="00081B9A"/>
    <w:rsid w:val="0008258D"/>
    <w:rsid w:val="00085F89"/>
    <w:rsid w:val="0009030A"/>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5604"/>
    <w:rsid w:val="0018651E"/>
    <w:rsid w:val="00187600"/>
    <w:rsid w:val="00187653"/>
    <w:rsid w:val="0019115C"/>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0F39"/>
    <w:rsid w:val="001E7F70"/>
    <w:rsid w:val="001F2B82"/>
    <w:rsid w:val="001F7875"/>
    <w:rsid w:val="00200D85"/>
    <w:rsid w:val="00204ACE"/>
    <w:rsid w:val="00210971"/>
    <w:rsid w:val="002131AD"/>
    <w:rsid w:val="00214390"/>
    <w:rsid w:val="0021643E"/>
    <w:rsid w:val="002206D9"/>
    <w:rsid w:val="002237A1"/>
    <w:rsid w:val="002311DC"/>
    <w:rsid w:val="00232162"/>
    <w:rsid w:val="00233FEE"/>
    <w:rsid w:val="002353B0"/>
    <w:rsid w:val="0024003F"/>
    <w:rsid w:val="00240612"/>
    <w:rsid w:val="00241308"/>
    <w:rsid w:val="0024183C"/>
    <w:rsid w:val="00241B42"/>
    <w:rsid w:val="0024652D"/>
    <w:rsid w:val="00247135"/>
    <w:rsid w:val="00247466"/>
    <w:rsid w:val="00251015"/>
    <w:rsid w:val="00251C9B"/>
    <w:rsid w:val="00251F08"/>
    <w:rsid w:val="00253CA9"/>
    <w:rsid w:val="00256A15"/>
    <w:rsid w:val="002604BF"/>
    <w:rsid w:val="00261B85"/>
    <w:rsid w:val="00264CC3"/>
    <w:rsid w:val="00264E82"/>
    <w:rsid w:val="0026583D"/>
    <w:rsid w:val="00275F81"/>
    <w:rsid w:val="00282316"/>
    <w:rsid w:val="002831FB"/>
    <w:rsid w:val="0028344C"/>
    <w:rsid w:val="00290777"/>
    <w:rsid w:val="00294B74"/>
    <w:rsid w:val="00294F83"/>
    <w:rsid w:val="00295284"/>
    <w:rsid w:val="00295A24"/>
    <w:rsid w:val="00295CFC"/>
    <w:rsid w:val="002961A9"/>
    <w:rsid w:val="00297D4D"/>
    <w:rsid w:val="002A16B8"/>
    <w:rsid w:val="002A467B"/>
    <w:rsid w:val="002A4FEB"/>
    <w:rsid w:val="002B0A27"/>
    <w:rsid w:val="002B1EA3"/>
    <w:rsid w:val="002B3361"/>
    <w:rsid w:val="002B7AC6"/>
    <w:rsid w:val="002C0079"/>
    <w:rsid w:val="002C0D45"/>
    <w:rsid w:val="002C1F5C"/>
    <w:rsid w:val="002C60D7"/>
    <w:rsid w:val="002C7B8F"/>
    <w:rsid w:val="002D31F1"/>
    <w:rsid w:val="002D52C7"/>
    <w:rsid w:val="002D67C0"/>
    <w:rsid w:val="002D72BC"/>
    <w:rsid w:val="002D791B"/>
    <w:rsid w:val="002E0827"/>
    <w:rsid w:val="002E087B"/>
    <w:rsid w:val="002E3904"/>
    <w:rsid w:val="002E48D8"/>
    <w:rsid w:val="002F2F8A"/>
    <w:rsid w:val="002F3B5E"/>
    <w:rsid w:val="002F71AA"/>
    <w:rsid w:val="00301DDD"/>
    <w:rsid w:val="00302280"/>
    <w:rsid w:val="00305247"/>
    <w:rsid w:val="00310526"/>
    <w:rsid w:val="00313D1A"/>
    <w:rsid w:val="003151C2"/>
    <w:rsid w:val="003160A1"/>
    <w:rsid w:val="003160E8"/>
    <w:rsid w:val="003211B5"/>
    <w:rsid w:val="00321A4E"/>
    <w:rsid w:val="00334FEA"/>
    <w:rsid w:val="00336B0E"/>
    <w:rsid w:val="003435BB"/>
    <w:rsid w:val="00344687"/>
    <w:rsid w:val="00344720"/>
    <w:rsid w:val="00345627"/>
    <w:rsid w:val="00346FE6"/>
    <w:rsid w:val="0035119E"/>
    <w:rsid w:val="003525C6"/>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5568"/>
    <w:rsid w:val="003B6A61"/>
    <w:rsid w:val="003C0A88"/>
    <w:rsid w:val="003C1304"/>
    <w:rsid w:val="003C263E"/>
    <w:rsid w:val="003C3EED"/>
    <w:rsid w:val="003C4591"/>
    <w:rsid w:val="003C5308"/>
    <w:rsid w:val="003C7249"/>
    <w:rsid w:val="003D0A04"/>
    <w:rsid w:val="003D16A0"/>
    <w:rsid w:val="003D3EB1"/>
    <w:rsid w:val="003D4690"/>
    <w:rsid w:val="003D744E"/>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53CF9"/>
    <w:rsid w:val="00454E0B"/>
    <w:rsid w:val="00460D42"/>
    <w:rsid w:val="00462555"/>
    <w:rsid w:val="004665C6"/>
    <w:rsid w:val="0046700C"/>
    <w:rsid w:val="00472661"/>
    <w:rsid w:val="0047344D"/>
    <w:rsid w:val="00474169"/>
    <w:rsid w:val="00480E9C"/>
    <w:rsid w:val="00482594"/>
    <w:rsid w:val="004875B1"/>
    <w:rsid w:val="00491B73"/>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13075"/>
    <w:rsid w:val="00531062"/>
    <w:rsid w:val="00531945"/>
    <w:rsid w:val="005337FC"/>
    <w:rsid w:val="00533AA3"/>
    <w:rsid w:val="00535B16"/>
    <w:rsid w:val="00541AC6"/>
    <w:rsid w:val="00541F5A"/>
    <w:rsid w:val="005463D2"/>
    <w:rsid w:val="0055125E"/>
    <w:rsid w:val="00554B8A"/>
    <w:rsid w:val="00555C92"/>
    <w:rsid w:val="005575AF"/>
    <w:rsid w:val="005647D1"/>
    <w:rsid w:val="005727F1"/>
    <w:rsid w:val="005744DC"/>
    <w:rsid w:val="00576DC7"/>
    <w:rsid w:val="0058333E"/>
    <w:rsid w:val="005838EB"/>
    <w:rsid w:val="00590E3C"/>
    <w:rsid w:val="0059501C"/>
    <w:rsid w:val="005964EB"/>
    <w:rsid w:val="005A1C04"/>
    <w:rsid w:val="005A28D8"/>
    <w:rsid w:val="005A3F57"/>
    <w:rsid w:val="005A6457"/>
    <w:rsid w:val="005A7418"/>
    <w:rsid w:val="005B0CD6"/>
    <w:rsid w:val="005B1DB7"/>
    <w:rsid w:val="005B30EA"/>
    <w:rsid w:val="005B34D8"/>
    <w:rsid w:val="005B3EF9"/>
    <w:rsid w:val="005B5D56"/>
    <w:rsid w:val="005B6B2C"/>
    <w:rsid w:val="005C091D"/>
    <w:rsid w:val="005C130A"/>
    <w:rsid w:val="005C429B"/>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5D1F"/>
    <w:rsid w:val="005F7569"/>
    <w:rsid w:val="006007F8"/>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1A2B"/>
    <w:rsid w:val="006565E6"/>
    <w:rsid w:val="00665FC1"/>
    <w:rsid w:val="0067014D"/>
    <w:rsid w:val="00674273"/>
    <w:rsid w:val="00676535"/>
    <w:rsid w:val="00677D2F"/>
    <w:rsid w:val="0068021E"/>
    <w:rsid w:val="006848C1"/>
    <w:rsid w:val="00686B92"/>
    <w:rsid w:val="0068737B"/>
    <w:rsid w:val="0069033E"/>
    <w:rsid w:val="00690853"/>
    <w:rsid w:val="00690B9D"/>
    <w:rsid w:val="00691DED"/>
    <w:rsid w:val="0069270B"/>
    <w:rsid w:val="00694438"/>
    <w:rsid w:val="006A19B2"/>
    <w:rsid w:val="006A1F1E"/>
    <w:rsid w:val="006A45C1"/>
    <w:rsid w:val="006A69FD"/>
    <w:rsid w:val="006B15A8"/>
    <w:rsid w:val="006B2E6E"/>
    <w:rsid w:val="006B3E6A"/>
    <w:rsid w:val="006C3431"/>
    <w:rsid w:val="006C3829"/>
    <w:rsid w:val="006C48A2"/>
    <w:rsid w:val="006D149E"/>
    <w:rsid w:val="006D3721"/>
    <w:rsid w:val="006D6E85"/>
    <w:rsid w:val="006E562A"/>
    <w:rsid w:val="006F38DF"/>
    <w:rsid w:val="007040C3"/>
    <w:rsid w:val="00705C9A"/>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4E70"/>
    <w:rsid w:val="00756A37"/>
    <w:rsid w:val="00757018"/>
    <w:rsid w:val="007570A9"/>
    <w:rsid w:val="0076458B"/>
    <w:rsid w:val="00766F1E"/>
    <w:rsid w:val="007674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96F49"/>
    <w:rsid w:val="007A0ABB"/>
    <w:rsid w:val="007A31CB"/>
    <w:rsid w:val="007B1DC0"/>
    <w:rsid w:val="007B7448"/>
    <w:rsid w:val="007B7B32"/>
    <w:rsid w:val="007B7C5D"/>
    <w:rsid w:val="007B7E23"/>
    <w:rsid w:val="007C423F"/>
    <w:rsid w:val="007C4B34"/>
    <w:rsid w:val="007D0206"/>
    <w:rsid w:val="007D110D"/>
    <w:rsid w:val="007D3309"/>
    <w:rsid w:val="007D72E0"/>
    <w:rsid w:val="007E048F"/>
    <w:rsid w:val="007E142A"/>
    <w:rsid w:val="007E223B"/>
    <w:rsid w:val="007E3C67"/>
    <w:rsid w:val="007E3F29"/>
    <w:rsid w:val="007E4080"/>
    <w:rsid w:val="007E5718"/>
    <w:rsid w:val="007E7296"/>
    <w:rsid w:val="007F26A1"/>
    <w:rsid w:val="007F4310"/>
    <w:rsid w:val="007F4844"/>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44ADF"/>
    <w:rsid w:val="0085197E"/>
    <w:rsid w:val="008534E1"/>
    <w:rsid w:val="008556A3"/>
    <w:rsid w:val="00861F65"/>
    <w:rsid w:val="008638C0"/>
    <w:rsid w:val="00864650"/>
    <w:rsid w:val="008650CF"/>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1A44"/>
    <w:rsid w:val="00892D7A"/>
    <w:rsid w:val="00895711"/>
    <w:rsid w:val="00895FFE"/>
    <w:rsid w:val="00897061"/>
    <w:rsid w:val="008A603C"/>
    <w:rsid w:val="008A7387"/>
    <w:rsid w:val="008B481B"/>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8F5862"/>
    <w:rsid w:val="00901C46"/>
    <w:rsid w:val="00901C5F"/>
    <w:rsid w:val="009037BA"/>
    <w:rsid w:val="00905E5C"/>
    <w:rsid w:val="00907F07"/>
    <w:rsid w:val="00910799"/>
    <w:rsid w:val="00910CB2"/>
    <w:rsid w:val="00911423"/>
    <w:rsid w:val="009121CC"/>
    <w:rsid w:val="00914AA0"/>
    <w:rsid w:val="00916259"/>
    <w:rsid w:val="00916B98"/>
    <w:rsid w:val="00916BB8"/>
    <w:rsid w:val="009176C8"/>
    <w:rsid w:val="009211DF"/>
    <w:rsid w:val="00922E0C"/>
    <w:rsid w:val="00926CAA"/>
    <w:rsid w:val="009307AC"/>
    <w:rsid w:val="0093250C"/>
    <w:rsid w:val="009341D0"/>
    <w:rsid w:val="00934E42"/>
    <w:rsid w:val="00940638"/>
    <w:rsid w:val="00941CBA"/>
    <w:rsid w:val="00942A43"/>
    <w:rsid w:val="0094785F"/>
    <w:rsid w:val="009602D0"/>
    <w:rsid w:val="0096349A"/>
    <w:rsid w:val="00963FEE"/>
    <w:rsid w:val="00965BCD"/>
    <w:rsid w:val="00970257"/>
    <w:rsid w:val="00973937"/>
    <w:rsid w:val="00980BAF"/>
    <w:rsid w:val="00980D01"/>
    <w:rsid w:val="00982BA8"/>
    <w:rsid w:val="00984204"/>
    <w:rsid w:val="00986519"/>
    <w:rsid w:val="00990019"/>
    <w:rsid w:val="00994488"/>
    <w:rsid w:val="00995135"/>
    <w:rsid w:val="00996699"/>
    <w:rsid w:val="00996E00"/>
    <w:rsid w:val="00996E97"/>
    <w:rsid w:val="009A1C49"/>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13B"/>
    <w:rsid w:val="00A30DE7"/>
    <w:rsid w:val="00A31971"/>
    <w:rsid w:val="00A3582A"/>
    <w:rsid w:val="00A41103"/>
    <w:rsid w:val="00A41500"/>
    <w:rsid w:val="00A46726"/>
    <w:rsid w:val="00A515FA"/>
    <w:rsid w:val="00A51C70"/>
    <w:rsid w:val="00A56379"/>
    <w:rsid w:val="00A63105"/>
    <w:rsid w:val="00A631D5"/>
    <w:rsid w:val="00A665AF"/>
    <w:rsid w:val="00A704FF"/>
    <w:rsid w:val="00A71E39"/>
    <w:rsid w:val="00A730EE"/>
    <w:rsid w:val="00A85C6A"/>
    <w:rsid w:val="00A916E9"/>
    <w:rsid w:val="00A9627F"/>
    <w:rsid w:val="00A976ED"/>
    <w:rsid w:val="00AA0FAE"/>
    <w:rsid w:val="00AA674C"/>
    <w:rsid w:val="00AB2BFC"/>
    <w:rsid w:val="00AB5974"/>
    <w:rsid w:val="00AB7BF8"/>
    <w:rsid w:val="00AC029D"/>
    <w:rsid w:val="00AC0F54"/>
    <w:rsid w:val="00AC3110"/>
    <w:rsid w:val="00AC605A"/>
    <w:rsid w:val="00AD4443"/>
    <w:rsid w:val="00AD642D"/>
    <w:rsid w:val="00AD7951"/>
    <w:rsid w:val="00AE200C"/>
    <w:rsid w:val="00AE30CD"/>
    <w:rsid w:val="00AE3636"/>
    <w:rsid w:val="00AE3B78"/>
    <w:rsid w:val="00AF01D8"/>
    <w:rsid w:val="00AF1D72"/>
    <w:rsid w:val="00AF36B0"/>
    <w:rsid w:val="00AF5BBE"/>
    <w:rsid w:val="00B021A5"/>
    <w:rsid w:val="00B0248F"/>
    <w:rsid w:val="00B04BD2"/>
    <w:rsid w:val="00B0790E"/>
    <w:rsid w:val="00B11B64"/>
    <w:rsid w:val="00B128DA"/>
    <w:rsid w:val="00B1334E"/>
    <w:rsid w:val="00B1409E"/>
    <w:rsid w:val="00B24B39"/>
    <w:rsid w:val="00B25390"/>
    <w:rsid w:val="00B34672"/>
    <w:rsid w:val="00B3544B"/>
    <w:rsid w:val="00B40C90"/>
    <w:rsid w:val="00B47E5F"/>
    <w:rsid w:val="00B524D5"/>
    <w:rsid w:val="00B55F86"/>
    <w:rsid w:val="00B56430"/>
    <w:rsid w:val="00B564ED"/>
    <w:rsid w:val="00B578AE"/>
    <w:rsid w:val="00B63524"/>
    <w:rsid w:val="00B63A99"/>
    <w:rsid w:val="00B67CEC"/>
    <w:rsid w:val="00B67EB5"/>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B1C26"/>
    <w:rsid w:val="00BB24EC"/>
    <w:rsid w:val="00BB26E6"/>
    <w:rsid w:val="00BB43B5"/>
    <w:rsid w:val="00BB54DA"/>
    <w:rsid w:val="00BB7508"/>
    <w:rsid w:val="00BC04CD"/>
    <w:rsid w:val="00BC0E2D"/>
    <w:rsid w:val="00BC435E"/>
    <w:rsid w:val="00BC523E"/>
    <w:rsid w:val="00BD169A"/>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205"/>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225D"/>
    <w:rsid w:val="00C63D22"/>
    <w:rsid w:val="00C649C7"/>
    <w:rsid w:val="00C6745B"/>
    <w:rsid w:val="00C71EA3"/>
    <w:rsid w:val="00C72DA6"/>
    <w:rsid w:val="00C76171"/>
    <w:rsid w:val="00C76361"/>
    <w:rsid w:val="00C77AEA"/>
    <w:rsid w:val="00C92F15"/>
    <w:rsid w:val="00C94E75"/>
    <w:rsid w:val="00C9533D"/>
    <w:rsid w:val="00C96381"/>
    <w:rsid w:val="00C9670C"/>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3749"/>
    <w:rsid w:val="00D65179"/>
    <w:rsid w:val="00D6562A"/>
    <w:rsid w:val="00D65F8B"/>
    <w:rsid w:val="00D67B98"/>
    <w:rsid w:val="00D71CF0"/>
    <w:rsid w:val="00D71D76"/>
    <w:rsid w:val="00D72616"/>
    <w:rsid w:val="00D737C9"/>
    <w:rsid w:val="00D7506F"/>
    <w:rsid w:val="00D800CC"/>
    <w:rsid w:val="00D80653"/>
    <w:rsid w:val="00D808B1"/>
    <w:rsid w:val="00D8575E"/>
    <w:rsid w:val="00D85C89"/>
    <w:rsid w:val="00D900DB"/>
    <w:rsid w:val="00D925DD"/>
    <w:rsid w:val="00D96523"/>
    <w:rsid w:val="00DA4356"/>
    <w:rsid w:val="00DB16BD"/>
    <w:rsid w:val="00DB292D"/>
    <w:rsid w:val="00DB5580"/>
    <w:rsid w:val="00DB5BCF"/>
    <w:rsid w:val="00DB63FC"/>
    <w:rsid w:val="00DB7E5F"/>
    <w:rsid w:val="00DC0277"/>
    <w:rsid w:val="00DC0B28"/>
    <w:rsid w:val="00DC7B51"/>
    <w:rsid w:val="00DD080B"/>
    <w:rsid w:val="00DD424C"/>
    <w:rsid w:val="00DD6DCA"/>
    <w:rsid w:val="00DE15F5"/>
    <w:rsid w:val="00DE75C0"/>
    <w:rsid w:val="00DF0CFD"/>
    <w:rsid w:val="00E00AFF"/>
    <w:rsid w:val="00E00B6C"/>
    <w:rsid w:val="00E03BA1"/>
    <w:rsid w:val="00E068C9"/>
    <w:rsid w:val="00E07B9A"/>
    <w:rsid w:val="00E108E5"/>
    <w:rsid w:val="00E11C97"/>
    <w:rsid w:val="00E12990"/>
    <w:rsid w:val="00E13AB8"/>
    <w:rsid w:val="00E1617B"/>
    <w:rsid w:val="00E20A38"/>
    <w:rsid w:val="00E251D8"/>
    <w:rsid w:val="00E30DEA"/>
    <w:rsid w:val="00E364BB"/>
    <w:rsid w:val="00E43FAB"/>
    <w:rsid w:val="00E4608E"/>
    <w:rsid w:val="00E557A3"/>
    <w:rsid w:val="00E566D6"/>
    <w:rsid w:val="00E57C46"/>
    <w:rsid w:val="00E608CD"/>
    <w:rsid w:val="00E60BF2"/>
    <w:rsid w:val="00E61D74"/>
    <w:rsid w:val="00E6293D"/>
    <w:rsid w:val="00E65A49"/>
    <w:rsid w:val="00E6626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6DC9"/>
    <w:rsid w:val="00EB17F4"/>
    <w:rsid w:val="00EB402E"/>
    <w:rsid w:val="00EB4576"/>
    <w:rsid w:val="00EB5362"/>
    <w:rsid w:val="00EB6BD8"/>
    <w:rsid w:val="00EC0894"/>
    <w:rsid w:val="00EC3E62"/>
    <w:rsid w:val="00ED1797"/>
    <w:rsid w:val="00ED1B18"/>
    <w:rsid w:val="00ED2095"/>
    <w:rsid w:val="00EE432B"/>
    <w:rsid w:val="00EE5FBB"/>
    <w:rsid w:val="00EF0EE7"/>
    <w:rsid w:val="00EF15AD"/>
    <w:rsid w:val="00EF30C3"/>
    <w:rsid w:val="00EF3A68"/>
    <w:rsid w:val="00EF40CC"/>
    <w:rsid w:val="00EF55C2"/>
    <w:rsid w:val="00F02945"/>
    <w:rsid w:val="00F04B42"/>
    <w:rsid w:val="00F05D92"/>
    <w:rsid w:val="00F10662"/>
    <w:rsid w:val="00F13312"/>
    <w:rsid w:val="00F15B3A"/>
    <w:rsid w:val="00F222BB"/>
    <w:rsid w:val="00F349E0"/>
    <w:rsid w:val="00F34F8A"/>
    <w:rsid w:val="00F43413"/>
    <w:rsid w:val="00F44A20"/>
    <w:rsid w:val="00F46FDF"/>
    <w:rsid w:val="00F508E1"/>
    <w:rsid w:val="00F577F0"/>
    <w:rsid w:val="00F609B8"/>
    <w:rsid w:val="00F65618"/>
    <w:rsid w:val="00F67953"/>
    <w:rsid w:val="00F71271"/>
    <w:rsid w:val="00F72D8A"/>
    <w:rsid w:val="00F832C5"/>
    <w:rsid w:val="00F8420F"/>
    <w:rsid w:val="00F97209"/>
    <w:rsid w:val="00F97E2C"/>
    <w:rsid w:val="00FA5C72"/>
    <w:rsid w:val="00FA60AB"/>
    <w:rsid w:val="00FB17E2"/>
    <w:rsid w:val="00FB39B7"/>
    <w:rsid w:val="00FB44C1"/>
    <w:rsid w:val="00FB5355"/>
    <w:rsid w:val="00FC2AC0"/>
    <w:rsid w:val="00FC3FD3"/>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 w:type="character" w:styleId="PlaceholderText">
    <w:name w:val="Placeholder Text"/>
    <w:basedOn w:val="DefaultParagraphFont"/>
    <w:uiPriority w:val="99"/>
    <w:semiHidden/>
    <w:rsid w:val="00B24B3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233FE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233FEE"/>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233FEE"/>
    <w:rPr>
      <w:noProof/>
    </w:rPr>
  </w:style>
  <w:style w:type="character" w:styleId="PlaceholderText">
    <w:name w:val="Placeholder Text"/>
    <w:basedOn w:val="DefaultParagraphFont"/>
    <w:uiPriority w:val="99"/>
    <w:semiHidden/>
    <w:rsid w:val="00B24B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ABAFD-C066-473D-BF5E-8E1729573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3</Pages>
  <Words>856</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155</cp:revision>
  <cp:lastPrinted>2017-07-05T06:21:00Z</cp:lastPrinted>
  <dcterms:created xsi:type="dcterms:W3CDTF">2017-02-14T12:19:00Z</dcterms:created>
  <dcterms:modified xsi:type="dcterms:W3CDTF">2018-07-18T10:40:00Z</dcterms:modified>
</cp:coreProperties>
</file>